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44" w:rsidRPr="00F1583E" w:rsidRDefault="00AA5144" w:rsidP="00AA514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F1583E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и замена деталей задней подвески.</w:t>
      </w: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Подставляем под балку заднего моста гидравлический домкрат. Последовательно снимаем и </w:t>
      </w:r>
      <w:proofErr w:type="gramStart"/>
      <w:r w:rsidRPr="00F1583E">
        <w:rPr>
          <w:rFonts w:ascii="Times New Roman" w:hAnsi="Times New Roman" w:cs="Times New Roman"/>
          <w:color w:val="1F1F1F"/>
          <w:sz w:val="28"/>
          <w:szCs w:val="28"/>
        </w:rPr>
        <w:t>заменяем на новые</w:t>
      </w:r>
      <w:proofErr w:type="gramEnd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(отремонтированные) детали задней подвески.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" name="Рисунок 1" descr="21064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"на 19" отворачиваем крепление нижних (длинных) продольных штанг. </w:t>
            </w:r>
          </w:p>
        </w:tc>
      </w:tr>
    </w:tbl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2" name="Рисунок 2" descr="21064-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"на 19" отворачиваем крепление верхних (коротких) продольных штанг к кузову. </w:t>
            </w:r>
          </w:p>
        </w:tc>
      </w:tr>
    </w:tbl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23950"/>
                  <wp:effectExtent l="19050" t="0" r="0" b="0"/>
                  <wp:docPr id="3" name="Рисунок 3" descr="21064-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Верхние штанги крепятся к лонжеронам кузова и балке заднего моста длинными болтами с шайбами и </w:t>
            </w:r>
            <w:proofErr w:type="spellStart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самоконтрящимися</w:t>
            </w:r>
            <w:proofErr w:type="spellEnd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гайками. </w:t>
            </w:r>
          </w:p>
        </w:tc>
      </w:tr>
    </w:tbl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4" name="Рисунок 4" descr="21064-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"на 19" отворачиваем крепление поперечной штанги к кронштейну кузова и балке заднего моста. </w:t>
            </w:r>
          </w:p>
        </w:tc>
      </w:tr>
    </w:tbl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5" name="Рисунок 5" descr="21064-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проведения ремонта кузова или замены кронштейна крепления продольной нижней штанги к кузову отворачиваем головкой "на 19" четыре гайки и снимаем кронштейн. </w:t>
            </w:r>
          </w:p>
        </w:tc>
      </w:tr>
    </w:tbl>
    <w:p w:rsidR="00AA5144" w:rsidRPr="00F1583E" w:rsidRDefault="00AA5144" w:rsidP="00AA514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76325"/>
                  <wp:effectExtent l="19050" t="0" r="0" b="0"/>
                  <wp:docPr id="6" name="Рисунок 6" descr="21064-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144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A5144" w:rsidRPr="00F1583E" w:rsidRDefault="00AA5144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заменяем дополнительный буфер хода сжатия задней подвески. </w:t>
            </w:r>
          </w:p>
        </w:tc>
      </w:tr>
    </w:tbl>
    <w:p w:rsidR="00E2442B" w:rsidRDefault="00E2442B"/>
    <w:sectPr w:rsidR="00E2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144"/>
    <w:rsid w:val="00AA5144"/>
    <w:rsid w:val="00E2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2010-12-12T08:42:00Z</dcterms:created>
  <dcterms:modified xsi:type="dcterms:W3CDTF">2010-12-12T08:43:00Z</dcterms:modified>
</cp:coreProperties>
</file>