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4D" w:rsidRPr="00C4165C" w:rsidRDefault="0075454D" w:rsidP="0075454D">
      <w:pPr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b/>
          <w:bCs/>
          <w:color w:val="1F1F1F"/>
          <w:sz w:val="28"/>
          <w:szCs w:val="28"/>
        </w:rPr>
        <w:t>Регулировка холостого хода.</w:t>
      </w:r>
      <w:r w:rsidRPr="00C4165C">
        <w:rPr>
          <w:rFonts w:ascii="Tahoma" w:hAnsi="Tahoma" w:cs="Tahoma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0"/>
      </w:tblGrid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524125" cy="1800225"/>
                  <wp:effectExtent l="19050" t="0" r="9525" b="0"/>
                  <wp:docPr id="1" name="Рисунок 1" descr="2106-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Схема системы холостого хода карбюратора: 1 - корпус дроссельных заслонок; 2 - дроссельная заслонка первой камеры; 3 - отверстия переходных режимов; 4 - отверстие, регулируемое винтом количества смеси; 5 - канал подвода воздуха; 6 - регулировочный винт количества смеси; 7 - регулировочный винт состава (качества) смеси; 8 - эмульсионный канал системы холостого хода; 9 - регулировочный винт добавочного воздуха*</w:t>
            </w:r>
            <w:proofErr w:type="gram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;</w:t>
            </w:r>
            <w:proofErr w:type="gram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10 - крышка корпуса карбюратора; 11 - воздушный жиклер системы холостого хода; 12 - корпус топливного жиклера холостого хода с запорным клапаном; 13 - топливный канал системы холостого хода; 14 - </w:t>
            </w: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 xml:space="preserve">эмульсионный колодец. " Устанавливается на части карбюраторов. </w:t>
            </w:r>
          </w:p>
        </w:tc>
      </w:tr>
    </w:tbl>
    <w:p w:rsidR="0075454D" w:rsidRPr="00C4165C" w:rsidRDefault="0075454D" w:rsidP="0075454D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</w:p>
    <w:p w:rsidR="0075454D" w:rsidRPr="00C4165C" w:rsidRDefault="0075454D" w:rsidP="0075454D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 xml:space="preserve">Систему холостого хода регулируем с целью </w:t>
      </w:r>
      <w:proofErr w:type="gramStart"/>
      <w:r w:rsidRPr="00C4165C">
        <w:rPr>
          <w:rFonts w:ascii="Tahoma" w:hAnsi="Tahoma" w:cs="Tahoma"/>
          <w:color w:val="1F1F1F"/>
          <w:sz w:val="28"/>
          <w:szCs w:val="28"/>
        </w:rPr>
        <w:t>обеспечить</w:t>
      </w:r>
      <w:proofErr w:type="gramEnd"/>
      <w:r w:rsidRPr="00C4165C">
        <w:rPr>
          <w:rFonts w:ascii="Tahoma" w:hAnsi="Tahoma" w:cs="Tahoma"/>
          <w:color w:val="1F1F1F"/>
          <w:sz w:val="28"/>
          <w:szCs w:val="28"/>
        </w:rPr>
        <w:t xml:space="preserve"> устойчивые обороты двигателя на холостом ходу с минимальным содержанием оксида углерода (СО) и углеводородов (СН) в отработавших газах. Данную операцию рекомендуем проводить на пунктах регулировки «СО-СН». Для регулировки холостого хода карбюратор имеет винт количества, уменьшающий или увеличивающий количество смеси, поступающей в двигатель, и винт качества, определяющий состав смеси (</w:t>
      </w:r>
      <w:proofErr w:type="gramStart"/>
      <w:r w:rsidRPr="00C4165C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C4165C">
        <w:rPr>
          <w:rFonts w:ascii="Tahoma" w:hAnsi="Tahoma" w:cs="Tahoma"/>
          <w:color w:val="1F1F1F"/>
          <w:sz w:val="28"/>
          <w:szCs w:val="28"/>
        </w:rPr>
        <w:t xml:space="preserve">. «Описание конструкции»).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2" name="Рисунок 2" descr="2106-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На заводе на эти винты напрессованы ограничительные пластмассовые втулки. </w:t>
            </w:r>
          </w:p>
        </w:tc>
      </w:tr>
    </w:tbl>
    <w:p w:rsidR="0075454D" w:rsidRPr="00C4165C" w:rsidRDefault="0075454D" w:rsidP="0075454D">
      <w:pPr>
        <w:rPr>
          <w:rFonts w:ascii="Tahoma" w:hAnsi="Tahoma" w:cs="Tahoma"/>
          <w:color w:val="1F1F1F"/>
          <w:sz w:val="28"/>
          <w:szCs w:val="28"/>
        </w:rPr>
      </w:pPr>
    </w:p>
    <w:p w:rsidR="0075454D" w:rsidRPr="00C4165C" w:rsidRDefault="0075454D" w:rsidP="0075454D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 xml:space="preserve">Они не позволяют нарушать заводские регулировки. Винт количества смеси с ограничительной втулкой можно повернуть не более чем на 90°, а качества - на 50°, что позволяет, не имея газоанализатора, только подстроить частоту вращения на холостом ходу. Если </w:t>
      </w:r>
      <w:proofErr w:type="gramStart"/>
      <w:r w:rsidRPr="00C4165C">
        <w:rPr>
          <w:rFonts w:ascii="Tahoma" w:hAnsi="Tahoma" w:cs="Tahoma"/>
          <w:color w:val="1F1F1F"/>
          <w:sz w:val="28"/>
          <w:szCs w:val="28"/>
        </w:rPr>
        <w:t>со</w:t>
      </w:r>
      <w:proofErr w:type="gramEnd"/>
      <w:r w:rsidRPr="00C4165C">
        <w:rPr>
          <w:rFonts w:ascii="Tahoma" w:hAnsi="Tahoma" w:cs="Tahoma"/>
          <w:color w:val="1F1F1F"/>
          <w:sz w:val="28"/>
          <w:szCs w:val="28"/>
        </w:rPr>
        <w:t xml:space="preserve"> втулками отрегулировать холостой ход не удается, отверткой ломаем их и повторяем операцию. Регулировку проводим с использованием газоанализатора на прогретом до рабочей температуры двигателе с отрегулированными зажиганием и зазорами в приводе клапанов (</w:t>
      </w:r>
      <w:proofErr w:type="gramStart"/>
      <w:r w:rsidRPr="00C4165C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C4165C">
        <w:rPr>
          <w:rFonts w:ascii="Tahoma" w:hAnsi="Tahoma" w:cs="Tahoma"/>
          <w:color w:val="1F1F1F"/>
          <w:sz w:val="28"/>
          <w:szCs w:val="28"/>
        </w:rPr>
        <w:t xml:space="preserve">. соответствующие разделы), при полностью открытой воздушной заслонке. Винтом количества установите по тахометру частоту вращения коленчатого вала 820-900 мин-1.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90"/>
      </w:tblGrid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2447925" cy="1828800"/>
                  <wp:effectExtent l="19050" t="0" r="9525" b="0"/>
                  <wp:docPr id="3" name="Рисунок 3" descr="2106-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54D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75454D" w:rsidRPr="00C4165C" w:rsidRDefault="0075454D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Винтом качества добейтесь концентрации </w:t>
            </w:r>
            <w:proofErr w:type="gram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СО</w:t>
            </w:r>
            <w:proofErr w:type="gram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gram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в</w:t>
            </w:r>
            <w:proofErr w:type="gram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отработавших газах в пределах 0,5-1,2% при данном положении винта количества. </w:t>
            </w:r>
          </w:p>
        </w:tc>
      </w:tr>
    </w:tbl>
    <w:p w:rsidR="0075454D" w:rsidRPr="00C4165C" w:rsidRDefault="0075454D" w:rsidP="0075454D">
      <w:pPr>
        <w:rPr>
          <w:rFonts w:ascii="Tahoma" w:hAnsi="Tahoma" w:cs="Tahoma"/>
          <w:color w:val="1F1F1F"/>
          <w:sz w:val="28"/>
          <w:szCs w:val="28"/>
        </w:rPr>
      </w:pPr>
    </w:p>
    <w:p w:rsidR="0075454D" w:rsidRPr="00C4165C" w:rsidRDefault="0075454D" w:rsidP="0075454D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 xml:space="preserve">Винтом количества восстановите частоту вращения коленчатого вала до 820-900 мин-1. При необходимости винтом качества восстановите концентрацию СО 0,5-1,2%. </w:t>
      </w:r>
    </w:p>
    <w:p w:rsidR="001A3DEB" w:rsidRDefault="001A3DEB"/>
    <w:sectPr w:rsidR="001A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54D"/>
    <w:rsid w:val="001A3DEB"/>
    <w:rsid w:val="0075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2010-12-12T08:52:00Z</dcterms:created>
  <dcterms:modified xsi:type="dcterms:W3CDTF">2010-12-12T08:52:00Z</dcterms:modified>
</cp:coreProperties>
</file>